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Hoja de trabajo: El control del costo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4605"/>
        <w:tblGridChange w:id="0">
          <w:tblGrid>
            <w:gridCol w:w="4755"/>
            <w:gridCol w:w="4605"/>
          </w:tblGrid>
        </w:tblGridChange>
      </w:tblGrid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¿Cómo va a rastrear los gastos?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❐  Profesionales     ❐ Software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¿Por qué realiza el propietario de un negocio  un seguimiento de los costos y las ganancias por producto o servicio?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¿Por qué rastrea el propietario de un negocio el costo de los bienes vendidos (COGS)?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tipo de costos le permite al IRS deducir de sus impuestos?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es la "disminución" del inventario?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estrategias de gestión de costos podría utilizar en su negocio?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¿Cuál es la </w:t>
            </w:r>
            <w:r w:rsidDel="00000000" w:rsidR="00000000" w:rsidRPr="00000000">
              <w:rPr>
                <w:u w:val="single"/>
                <w:rtl w:val="0"/>
              </w:rPr>
              <w:t xml:space="preserve">mejor estrategia</w:t>
            </w:r>
            <w:r w:rsidDel="00000000" w:rsidR="00000000" w:rsidRPr="00000000">
              <w:rPr>
                <w:rtl w:val="0"/>
              </w:rPr>
              <w:t xml:space="preserve"> para controlar los costos?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¿Cuál es una definición común de "productividad"?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medida que aumenta la productividad, el costo por unidad de producción(a) ______, y las ganancias(b) 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(a)_____________________________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(b)_____________________________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