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7c001f" w:val="clear"/>
        <w:spacing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rtl w:val="0"/>
        </w:rPr>
        <w:t xml:space="preserve">Sección 12: El comercio electrónico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El comercio electrónico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(Sesión 12): Describa detalladamente cómo planea usar el Internet para promover su producto o servicio.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La competencia en el comercio electrónico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(Sesión 12): Describa cómo sus mejores competidores utilizan el comercio electrónico y su estrategia para mejorar las prácticas.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(Sesión 12): Investigue e identifique los diferentes canales en los que venderá su producto o servicio. ¿Venderá su producto o servicio por un mercado en línea o a través de las redes sociales? ¿A qué mercados sirve cada uno de estos canales? ¿Cuáles son sus expectativas de ventas?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(Sesión 12): ¿Cómo va a tomar los pedidos, procesar los pagos, y satisfacer las solicitudes?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La elaboración de presupuesto para un comercio electrónico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(Sesión 12): Provea un análisis detallado de los costos involucrados en crear, operar y mantener sus actividades de comercio electrónico.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lineRule="auto"/>
        <w:rPr>
          <w:rFonts w:ascii="Roboto" w:cs="Roboto" w:eastAsia="Roboto" w:hAnsi="Roboto"/>
          <w:color w:val="4a86e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7c001f" w:val="clear"/>
        <w:spacing w:line="240" w:lineRule="auto"/>
        <w:ind w:hanging="2"/>
        <w:jc w:val="center"/>
        <w:rPr>
          <w:rFonts w:ascii="Roboto" w:cs="Roboto" w:eastAsia="Roboto" w:hAnsi="Roboto"/>
          <w:color w:val="4a86e8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pos="4320"/>
        <w:tab w:val="right" w:pos="8640"/>
      </w:tabs>
      <w:spacing w:line="240" w:lineRule="auto"/>
      <w:jc w:val="center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pos="4320"/>
        <w:tab w:val="right" w:pos="8640"/>
      </w:tabs>
      <w:spacing w:line="240" w:lineRule="auto"/>
      <w:jc w:val="center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© SCU MOBI 2021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2921635</wp:posOffset>
          </wp:positionH>
          <wp:positionV relativeFrom="paragraph">
            <wp:posOffset>12065</wp:posOffset>
          </wp:positionV>
          <wp:extent cx="325755" cy="33083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755" cy="3308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tabs>
        <w:tab w:val="center" w:pos="4320"/>
        <w:tab w:val="right" w:pos="8640"/>
      </w:tabs>
      <w:spacing w:line="240" w:lineRule="auto"/>
      <w:jc w:val="center"/>
      <w:rPr/>
    </w:pPr>
    <w:hyperlink r:id="rId2">
      <w:r w:rsidDel="00000000" w:rsidR="00000000" w:rsidRPr="00000000">
        <w:rPr>
          <w:rFonts w:ascii="Cambria" w:cs="Cambria" w:eastAsia="Cambria" w:hAnsi="Cambria"/>
          <w:color w:val="0000ff"/>
          <w:sz w:val="20"/>
          <w:szCs w:val="20"/>
          <w:u w:val="single"/>
          <w:rtl w:val="0"/>
        </w:rPr>
        <w:t xml:space="preserve">www.scu.edu/mobi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after="120" w:line="240" w:lineRule="auto"/>
      <w:jc w:val="center"/>
      <w:rPr/>
    </w:pPr>
    <w:r w:rsidDel="00000000" w:rsidR="00000000" w:rsidRPr="00000000">
      <w:rPr>
        <w:rtl w:val="0"/>
      </w:rPr>
      <w:tab/>
      <w:tab/>
      <w:tab/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cu.edu/m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