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0BE" w:rsidRDefault="00AF10BE">
      <w:pPr>
        <w:pStyle w:val="BodyText"/>
        <w:rPr>
          <w:sz w:val="26"/>
        </w:rPr>
      </w:pPr>
      <w:bookmarkStart w:id="0" w:name="_GoBack"/>
      <w:bookmarkEnd w:id="0"/>
    </w:p>
    <w:p w:rsidR="00AF10BE" w:rsidRDefault="00AF10BE">
      <w:pPr>
        <w:pStyle w:val="BodyText"/>
        <w:spacing w:before="8"/>
        <w:rPr>
          <w:sz w:val="20"/>
        </w:rPr>
      </w:pPr>
    </w:p>
    <w:p w:rsidR="00AF10BE" w:rsidRDefault="003149C3">
      <w:pPr>
        <w:ind w:left="2954"/>
        <w:rPr>
          <w:b/>
          <w:sz w:val="24"/>
        </w:rPr>
      </w:pPr>
      <w:r>
        <w:rPr>
          <w:b/>
          <w:sz w:val="24"/>
        </w:rPr>
        <w:t>Experiential Learning for Social Justice Overview</w:t>
      </w:r>
    </w:p>
    <w:p w:rsidR="00AF10BE" w:rsidRDefault="003149C3">
      <w:pPr>
        <w:spacing w:before="73"/>
        <w:ind w:left="1117" w:right="96" w:firstLine="21"/>
        <w:rPr>
          <w:sz w:val="20"/>
        </w:rPr>
      </w:pPr>
      <w:r>
        <w:br w:type="column"/>
      </w:r>
      <w:r>
        <w:rPr>
          <w:sz w:val="20"/>
        </w:rPr>
        <w:t xml:space="preserve">Revised: </w:t>
      </w:r>
      <w:r w:rsidR="00985D78">
        <w:rPr>
          <w:sz w:val="20"/>
        </w:rPr>
        <w:t>11</w:t>
      </w:r>
      <w:r>
        <w:rPr>
          <w:sz w:val="20"/>
        </w:rPr>
        <w:t>/</w:t>
      </w:r>
      <w:r w:rsidR="00985D78">
        <w:rPr>
          <w:sz w:val="20"/>
        </w:rPr>
        <w:t>29</w:t>
      </w:r>
      <w:r>
        <w:rPr>
          <w:sz w:val="20"/>
        </w:rPr>
        <w:t>/201</w:t>
      </w:r>
      <w:r w:rsidR="00EA04EB">
        <w:rPr>
          <w:sz w:val="20"/>
        </w:rPr>
        <w:t>7</w:t>
      </w:r>
      <w:r>
        <w:rPr>
          <w:sz w:val="20"/>
        </w:rPr>
        <w:t xml:space="preserve"> Original: 03/18/2010</w:t>
      </w:r>
    </w:p>
    <w:p w:rsidR="00AF10BE" w:rsidRDefault="00AF10BE">
      <w:pPr>
        <w:rPr>
          <w:sz w:val="20"/>
        </w:rPr>
        <w:sectPr w:rsidR="00AF10BE">
          <w:headerReference w:type="even" r:id="rId7"/>
          <w:headerReference w:type="default" r:id="rId8"/>
          <w:footerReference w:type="even" r:id="rId9"/>
          <w:footerReference w:type="default" r:id="rId10"/>
          <w:headerReference w:type="first" r:id="rId11"/>
          <w:footerReference w:type="first" r:id="rId12"/>
          <w:type w:val="continuous"/>
          <w:pgSz w:w="12240" w:h="15840"/>
          <w:pgMar w:top="640" w:right="600" w:bottom="280" w:left="600" w:header="720" w:footer="720" w:gutter="0"/>
          <w:cols w:num="2" w:space="720" w:equalWidth="0">
            <w:col w:w="8083" w:space="40"/>
            <w:col w:w="2917"/>
          </w:cols>
        </w:sectPr>
      </w:pPr>
    </w:p>
    <w:p w:rsidR="00AF10BE" w:rsidRDefault="00AF10BE">
      <w:pPr>
        <w:pStyle w:val="BodyText"/>
        <w:spacing w:before="8"/>
        <w:rPr>
          <w:sz w:val="9"/>
        </w:rPr>
      </w:pPr>
    </w:p>
    <w:p w:rsidR="00AF10BE" w:rsidRDefault="003149C3">
      <w:pPr>
        <w:pStyle w:val="BodyText"/>
        <w:spacing w:before="93"/>
        <w:ind w:left="120" w:right="192"/>
        <w:jc w:val="both"/>
      </w:pPr>
      <w:r>
        <w:t>The Experiential Learning for Social Justice (ELSJ) component of Santa Clara’s Core curriculum cultivates social justice, civic life, perspective, and civic engagement. ELSJ provides Santa Clara students with opportunities for experiencing the gritty reality of the world, thinking critically about the world, responding to its suffering, and engaging it constructively.</w:t>
      </w:r>
    </w:p>
    <w:p w:rsidR="00AF10BE" w:rsidRDefault="00AF10BE">
      <w:pPr>
        <w:pStyle w:val="BodyText"/>
        <w:spacing w:before="1"/>
      </w:pPr>
    </w:p>
    <w:p w:rsidR="00AF10BE" w:rsidRDefault="003149C3">
      <w:pPr>
        <w:pStyle w:val="BodyText"/>
        <w:ind w:left="120"/>
      </w:pPr>
      <w:r>
        <w:t>Three key elements are necessary for ELSJ credit:</w:t>
      </w:r>
    </w:p>
    <w:p w:rsidR="00AF10BE" w:rsidRDefault="00AF10BE">
      <w:pPr>
        <w:pStyle w:val="BodyText"/>
        <w:spacing w:before="10"/>
        <w:rPr>
          <w:sz w:val="17"/>
        </w:rPr>
      </w:pPr>
    </w:p>
    <w:p w:rsidR="00AF10BE" w:rsidRDefault="003149C3">
      <w:pPr>
        <w:pStyle w:val="ListParagraph"/>
        <w:numPr>
          <w:ilvl w:val="0"/>
          <w:numId w:val="3"/>
        </w:numPr>
        <w:tabs>
          <w:tab w:val="left" w:pos="931"/>
          <w:tab w:val="left" w:pos="932"/>
        </w:tabs>
        <w:ind w:hanging="360"/>
        <w:rPr>
          <w:sz w:val="18"/>
        </w:rPr>
      </w:pPr>
      <w:r>
        <w:rPr>
          <w:sz w:val="18"/>
        </w:rPr>
        <w:t xml:space="preserve">Contact: ELSJ involves substantial and sustained </w:t>
      </w:r>
      <w:r w:rsidR="001E0864">
        <w:rPr>
          <w:sz w:val="18"/>
        </w:rPr>
        <w:t xml:space="preserve">direct </w:t>
      </w:r>
      <w:r>
        <w:rPr>
          <w:sz w:val="18"/>
        </w:rPr>
        <w:t>contact with</w:t>
      </w:r>
      <w:r>
        <w:rPr>
          <w:spacing w:val="-20"/>
          <w:sz w:val="18"/>
        </w:rPr>
        <w:t xml:space="preserve"> </w:t>
      </w:r>
      <w:r>
        <w:rPr>
          <w:sz w:val="18"/>
        </w:rPr>
        <w:t>communities</w:t>
      </w:r>
    </w:p>
    <w:p w:rsidR="00AF10BE" w:rsidRDefault="00AF10BE">
      <w:pPr>
        <w:pStyle w:val="BodyText"/>
      </w:pPr>
    </w:p>
    <w:p w:rsidR="00AF10BE" w:rsidRDefault="003149C3">
      <w:pPr>
        <w:pStyle w:val="ListParagraph"/>
        <w:numPr>
          <w:ilvl w:val="1"/>
          <w:numId w:val="3"/>
        </w:numPr>
        <w:tabs>
          <w:tab w:val="left" w:pos="1601"/>
          <w:tab w:val="left" w:pos="1602"/>
        </w:tabs>
        <w:spacing w:line="219" w:lineRule="exact"/>
        <w:rPr>
          <w:sz w:val="18"/>
        </w:rPr>
      </w:pPr>
      <w:r>
        <w:rPr>
          <w:sz w:val="18"/>
        </w:rPr>
        <w:t>Community-based learning experiences involve typically 16 contact hours over one</w:t>
      </w:r>
      <w:r>
        <w:rPr>
          <w:spacing w:val="-21"/>
          <w:sz w:val="18"/>
        </w:rPr>
        <w:t xml:space="preserve"> </w:t>
      </w:r>
      <w:r>
        <w:rPr>
          <w:sz w:val="18"/>
        </w:rPr>
        <w:t>quarter</w:t>
      </w:r>
    </w:p>
    <w:p w:rsidR="00AF10BE" w:rsidRDefault="003149C3">
      <w:pPr>
        <w:pStyle w:val="ListParagraph"/>
        <w:numPr>
          <w:ilvl w:val="1"/>
          <w:numId w:val="3"/>
        </w:numPr>
        <w:tabs>
          <w:tab w:val="left" w:pos="1601"/>
          <w:tab w:val="left" w:pos="1602"/>
        </w:tabs>
        <w:spacing w:line="219" w:lineRule="exact"/>
        <w:rPr>
          <w:sz w:val="18"/>
        </w:rPr>
      </w:pPr>
      <w:r>
        <w:rPr>
          <w:sz w:val="18"/>
        </w:rPr>
        <w:t>Immersion trips involve at least 24 contact hours, normally over a five day period (or</w:t>
      </w:r>
      <w:r>
        <w:rPr>
          <w:spacing w:val="-23"/>
          <w:sz w:val="18"/>
        </w:rPr>
        <w:t xml:space="preserve"> </w:t>
      </w:r>
      <w:r>
        <w:rPr>
          <w:sz w:val="18"/>
        </w:rPr>
        <w:t>longer)</w:t>
      </w:r>
    </w:p>
    <w:p w:rsidR="00AF10BE" w:rsidRDefault="003149C3">
      <w:pPr>
        <w:pStyle w:val="ListParagraph"/>
        <w:numPr>
          <w:ilvl w:val="1"/>
          <w:numId w:val="3"/>
        </w:numPr>
        <w:tabs>
          <w:tab w:val="left" w:pos="1601"/>
          <w:tab w:val="left" w:pos="1602"/>
        </w:tabs>
        <w:rPr>
          <w:sz w:val="18"/>
        </w:rPr>
      </w:pPr>
      <w:r>
        <w:rPr>
          <w:sz w:val="18"/>
        </w:rPr>
        <w:t>Other forms of community engagement typically involve 16 contact hours over 2-10 weeks (or</w:t>
      </w:r>
      <w:r>
        <w:rPr>
          <w:spacing w:val="-28"/>
          <w:sz w:val="18"/>
        </w:rPr>
        <w:t xml:space="preserve"> </w:t>
      </w:r>
      <w:r>
        <w:rPr>
          <w:sz w:val="18"/>
        </w:rPr>
        <w:t>longer)</w:t>
      </w:r>
    </w:p>
    <w:p w:rsidR="00AF10BE" w:rsidRDefault="00AF10BE">
      <w:pPr>
        <w:pStyle w:val="BodyText"/>
      </w:pPr>
    </w:p>
    <w:p w:rsidR="00AF10BE" w:rsidRDefault="003149C3">
      <w:pPr>
        <w:pStyle w:val="ListParagraph"/>
        <w:numPr>
          <w:ilvl w:val="0"/>
          <w:numId w:val="3"/>
        </w:numPr>
        <w:tabs>
          <w:tab w:val="left" w:pos="931"/>
          <w:tab w:val="left" w:pos="932"/>
        </w:tabs>
        <w:ind w:hanging="360"/>
        <w:rPr>
          <w:sz w:val="18"/>
        </w:rPr>
      </w:pPr>
      <w:r>
        <w:rPr>
          <w:sz w:val="18"/>
        </w:rPr>
        <w:t>Reflection</w:t>
      </w:r>
      <w:r>
        <w:rPr>
          <w:spacing w:val="-2"/>
          <w:sz w:val="18"/>
        </w:rPr>
        <w:t xml:space="preserve"> </w:t>
      </w:r>
      <w:r>
        <w:rPr>
          <w:sz w:val="18"/>
        </w:rPr>
        <w:t>and</w:t>
      </w:r>
      <w:r>
        <w:rPr>
          <w:spacing w:val="-2"/>
          <w:sz w:val="18"/>
        </w:rPr>
        <w:t xml:space="preserve"> </w:t>
      </w:r>
      <w:r>
        <w:rPr>
          <w:sz w:val="18"/>
        </w:rPr>
        <w:t>Integration:</w:t>
      </w:r>
      <w:r>
        <w:rPr>
          <w:spacing w:val="-1"/>
          <w:sz w:val="18"/>
        </w:rPr>
        <w:t xml:space="preserve"> </w:t>
      </w:r>
      <w:r>
        <w:rPr>
          <w:sz w:val="18"/>
        </w:rPr>
        <w:t>Direct</w:t>
      </w:r>
      <w:r>
        <w:rPr>
          <w:spacing w:val="-5"/>
          <w:sz w:val="18"/>
        </w:rPr>
        <w:t xml:space="preserve"> </w:t>
      </w:r>
      <w:r>
        <w:rPr>
          <w:sz w:val="18"/>
        </w:rPr>
        <w:t>community</w:t>
      </w:r>
      <w:r>
        <w:rPr>
          <w:spacing w:val="-7"/>
          <w:sz w:val="18"/>
        </w:rPr>
        <w:t xml:space="preserve"> </w:t>
      </w:r>
      <w:r>
        <w:rPr>
          <w:sz w:val="18"/>
        </w:rPr>
        <w:t>contact will</w:t>
      </w:r>
      <w:r>
        <w:rPr>
          <w:spacing w:val="-3"/>
          <w:sz w:val="18"/>
        </w:rPr>
        <w:t xml:space="preserve"> </w:t>
      </w:r>
      <w:r>
        <w:rPr>
          <w:sz w:val="18"/>
        </w:rPr>
        <w:t>be</w:t>
      </w:r>
      <w:r>
        <w:rPr>
          <w:spacing w:val="-4"/>
          <w:sz w:val="18"/>
        </w:rPr>
        <w:t xml:space="preserve"> </w:t>
      </w:r>
      <w:r>
        <w:rPr>
          <w:sz w:val="18"/>
        </w:rPr>
        <w:t>integrated</w:t>
      </w:r>
      <w:r>
        <w:rPr>
          <w:spacing w:val="-2"/>
          <w:sz w:val="18"/>
        </w:rPr>
        <w:t xml:space="preserve"> </w:t>
      </w:r>
      <w:r>
        <w:rPr>
          <w:sz w:val="18"/>
        </w:rPr>
        <w:t>through</w:t>
      </w:r>
      <w:r>
        <w:rPr>
          <w:spacing w:val="-2"/>
          <w:sz w:val="18"/>
        </w:rPr>
        <w:t xml:space="preserve"> </w:t>
      </w:r>
      <w:r>
        <w:rPr>
          <w:sz w:val="18"/>
        </w:rPr>
        <w:t>reflections</w:t>
      </w:r>
      <w:r>
        <w:rPr>
          <w:spacing w:val="-3"/>
          <w:sz w:val="18"/>
        </w:rPr>
        <w:t xml:space="preserve"> </w:t>
      </w:r>
      <w:r>
        <w:rPr>
          <w:sz w:val="18"/>
        </w:rPr>
        <w:t>and</w:t>
      </w:r>
      <w:r>
        <w:rPr>
          <w:spacing w:val="-2"/>
          <w:sz w:val="18"/>
        </w:rPr>
        <w:t xml:space="preserve"> </w:t>
      </w:r>
      <w:r>
        <w:rPr>
          <w:sz w:val="18"/>
        </w:rPr>
        <w:t>other</w:t>
      </w:r>
      <w:r>
        <w:rPr>
          <w:spacing w:val="-5"/>
          <w:sz w:val="18"/>
        </w:rPr>
        <w:t xml:space="preserve"> </w:t>
      </w:r>
      <w:r>
        <w:rPr>
          <w:sz w:val="18"/>
        </w:rPr>
        <w:t>assignments.</w:t>
      </w:r>
    </w:p>
    <w:p w:rsidR="00AF10BE" w:rsidRDefault="00AF10BE">
      <w:pPr>
        <w:pStyle w:val="BodyText"/>
        <w:spacing w:before="9"/>
        <w:rPr>
          <w:sz w:val="17"/>
        </w:rPr>
      </w:pPr>
    </w:p>
    <w:p w:rsidR="00AF10BE" w:rsidRDefault="003149C3">
      <w:pPr>
        <w:pStyle w:val="ListParagraph"/>
        <w:numPr>
          <w:ilvl w:val="1"/>
          <w:numId w:val="3"/>
        </w:numPr>
        <w:tabs>
          <w:tab w:val="left" w:pos="1651"/>
          <w:tab w:val="left" w:pos="1652"/>
        </w:tabs>
        <w:ind w:left="1651"/>
        <w:rPr>
          <w:sz w:val="18"/>
        </w:rPr>
      </w:pPr>
      <w:r>
        <w:rPr>
          <w:sz w:val="18"/>
        </w:rPr>
        <w:t>ELSJ courses include in-class engaged dialogue</w:t>
      </w:r>
      <w:r>
        <w:rPr>
          <w:spacing w:val="-10"/>
          <w:sz w:val="18"/>
        </w:rPr>
        <w:t xml:space="preserve"> </w:t>
      </w:r>
      <w:r>
        <w:rPr>
          <w:sz w:val="18"/>
        </w:rPr>
        <w:t>sessions</w:t>
      </w:r>
    </w:p>
    <w:p w:rsidR="00AF10BE" w:rsidRDefault="003149C3">
      <w:pPr>
        <w:pStyle w:val="ListParagraph"/>
        <w:numPr>
          <w:ilvl w:val="1"/>
          <w:numId w:val="3"/>
        </w:numPr>
        <w:tabs>
          <w:tab w:val="left" w:pos="1651"/>
          <w:tab w:val="left" w:pos="1652"/>
        </w:tabs>
        <w:ind w:left="1651"/>
        <w:rPr>
          <w:sz w:val="18"/>
        </w:rPr>
      </w:pPr>
      <w:r>
        <w:rPr>
          <w:sz w:val="18"/>
        </w:rPr>
        <w:t>ELSJ courses include written critical</w:t>
      </w:r>
      <w:r>
        <w:rPr>
          <w:spacing w:val="-14"/>
          <w:sz w:val="18"/>
        </w:rPr>
        <w:t xml:space="preserve"> </w:t>
      </w:r>
      <w:r>
        <w:rPr>
          <w:sz w:val="18"/>
        </w:rPr>
        <w:t>reflections</w:t>
      </w:r>
    </w:p>
    <w:p w:rsidR="00AF10BE" w:rsidRDefault="003149C3">
      <w:pPr>
        <w:pStyle w:val="ListParagraph"/>
        <w:numPr>
          <w:ilvl w:val="1"/>
          <w:numId w:val="3"/>
        </w:numPr>
        <w:tabs>
          <w:tab w:val="left" w:pos="1651"/>
          <w:tab w:val="left" w:pos="1652"/>
        </w:tabs>
        <w:ind w:left="1651"/>
        <w:rPr>
          <w:sz w:val="18"/>
        </w:rPr>
      </w:pPr>
      <w:r>
        <w:rPr>
          <w:sz w:val="18"/>
        </w:rPr>
        <w:t>The written and oral reflections must integrate the community-based learning experiences with the rest of the course</w:t>
      </w:r>
      <w:r>
        <w:rPr>
          <w:spacing w:val="-22"/>
          <w:sz w:val="18"/>
        </w:rPr>
        <w:t xml:space="preserve"> </w:t>
      </w:r>
      <w:r>
        <w:rPr>
          <w:sz w:val="18"/>
        </w:rPr>
        <w:t>content</w:t>
      </w:r>
    </w:p>
    <w:p w:rsidR="00AF10BE" w:rsidRDefault="00AF10BE">
      <w:pPr>
        <w:pStyle w:val="BodyText"/>
        <w:spacing w:before="11"/>
        <w:rPr>
          <w:sz w:val="17"/>
        </w:rPr>
      </w:pPr>
    </w:p>
    <w:p w:rsidR="00AF10BE" w:rsidRDefault="003149C3">
      <w:pPr>
        <w:pStyle w:val="ListParagraph"/>
        <w:numPr>
          <w:ilvl w:val="0"/>
          <w:numId w:val="3"/>
        </w:numPr>
        <w:tabs>
          <w:tab w:val="left" w:pos="931"/>
          <w:tab w:val="left" w:pos="932"/>
        </w:tabs>
        <w:ind w:right="252" w:hanging="360"/>
        <w:rPr>
          <w:sz w:val="18"/>
        </w:rPr>
      </w:pPr>
      <w:r>
        <w:rPr>
          <w:sz w:val="18"/>
        </w:rPr>
        <w:t xml:space="preserve">Learning </w:t>
      </w:r>
      <w:r w:rsidR="00C86A1C">
        <w:rPr>
          <w:sz w:val="18"/>
        </w:rPr>
        <w:t xml:space="preserve">Outcomes </w:t>
      </w:r>
      <w:r>
        <w:rPr>
          <w:sz w:val="18"/>
        </w:rPr>
        <w:t>and Assignment Mapping: Curriculum</w:t>
      </w:r>
      <w:r w:rsidR="00B70CE6">
        <w:rPr>
          <w:sz w:val="18"/>
        </w:rPr>
        <w:t xml:space="preserve"> (including community-based learning)</w:t>
      </w:r>
      <w:r>
        <w:rPr>
          <w:sz w:val="18"/>
        </w:rPr>
        <w:t xml:space="preserve"> and assignments in ELSJ courses will be aligned with the following learning </w:t>
      </w:r>
      <w:r w:rsidR="00C86A1C">
        <w:rPr>
          <w:sz w:val="18"/>
        </w:rPr>
        <w:t>outcomes</w:t>
      </w:r>
      <w:r>
        <w:rPr>
          <w:sz w:val="18"/>
        </w:rPr>
        <w:t>. Students will be able</w:t>
      </w:r>
      <w:r>
        <w:rPr>
          <w:spacing w:val="-12"/>
          <w:sz w:val="18"/>
        </w:rPr>
        <w:t xml:space="preserve"> </w:t>
      </w:r>
      <w:r>
        <w:rPr>
          <w:sz w:val="18"/>
        </w:rPr>
        <w:t>to</w:t>
      </w:r>
    </w:p>
    <w:p w:rsidR="00AF10BE" w:rsidRPr="00B91714" w:rsidRDefault="00AF10BE">
      <w:pPr>
        <w:pStyle w:val="BodyText"/>
        <w:spacing w:before="9"/>
        <w:rPr>
          <w:sz w:val="16"/>
        </w:rPr>
      </w:pPr>
    </w:p>
    <w:p w:rsidR="000908DF" w:rsidRPr="00B91714" w:rsidRDefault="000908DF" w:rsidP="00E96821">
      <w:pPr>
        <w:pStyle w:val="ListParagraph"/>
        <w:shd w:val="clear" w:color="auto" w:fill="FFFFFF"/>
        <w:tabs>
          <w:tab w:val="left" w:pos="1561"/>
        </w:tabs>
        <w:spacing w:before="2"/>
        <w:ind w:firstLine="0"/>
        <w:rPr>
          <w:rFonts w:ascii="Tahoma" w:hAnsi="Tahoma"/>
          <w:color w:val="000000" w:themeColor="text1"/>
          <w:sz w:val="18"/>
          <w:szCs w:val="20"/>
        </w:rPr>
      </w:pPr>
      <w:r w:rsidRPr="00B91714">
        <w:rPr>
          <w:color w:val="000000" w:themeColor="text1"/>
          <w:sz w:val="18"/>
          <w:szCs w:val="20"/>
        </w:rPr>
        <w:t>1.1    Recognize the importance of life-long responsible citizenship and civic engagement in personal and/or professional activities in ways that benefit underserved populations. (Civic Life, Civic Engagement, and Social Justice)</w:t>
      </w:r>
    </w:p>
    <w:p w:rsidR="000908DF" w:rsidRPr="00B91714" w:rsidRDefault="000908DF" w:rsidP="00E96821">
      <w:pPr>
        <w:pStyle w:val="ListParagraph"/>
        <w:shd w:val="clear" w:color="auto" w:fill="FFFFFF"/>
        <w:ind w:firstLine="0"/>
        <w:rPr>
          <w:rFonts w:ascii="Tahoma" w:hAnsi="Tahoma"/>
          <w:color w:val="000000" w:themeColor="text1"/>
          <w:sz w:val="18"/>
          <w:szCs w:val="20"/>
        </w:rPr>
      </w:pPr>
      <w:r w:rsidRPr="00B91714">
        <w:rPr>
          <w:color w:val="000000" w:themeColor="text1"/>
          <w:sz w:val="18"/>
          <w:szCs w:val="20"/>
        </w:rPr>
        <w:t>1.2   Demonstrate an understanding and appreciation of the formal and informal knowledge, wisdom, and/or skills that individuals in these communities possess, showing awareness of own and at least one other perspective/worldview. (Perspective)</w:t>
      </w:r>
    </w:p>
    <w:p w:rsidR="000908DF" w:rsidRPr="00B91714" w:rsidRDefault="000908DF" w:rsidP="00E96821">
      <w:pPr>
        <w:pStyle w:val="ListParagraph"/>
        <w:shd w:val="clear" w:color="auto" w:fill="FFFFFF"/>
        <w:ind w:firstLine="0"/>
        <w:rPr>
          <w:rFonts w:ascii="Tahoma" w:hAnsi="Tahoma"/>
          <w:color w:val="000000" w:themeColor="text1"/>
          <w:sz w:val="18"/>
          <w:szCs w:val="20"/>
        </w:rPr>
      </w:pPr>
      <w:r w:rsidRPr="00B91714">
        <w:rPr>
          <w:color w:val="000000" w:themeColor="text1"/>
          <w:sz w:val="18"/>
          <w:szCs w:val="20"/>
        </w:rPr>
        <w:t>1.3     Recognize, analyze, and understand the social reality and injustices in contemporary society, including recognizing the relative privilege or marginalization of their own and other groups. (Social Justice)</w:t>
      </w:r>
    </w:p>
    <w:p w:rsidR="00AF10BE" w:rsidRDefault="00AF10BE">
      <w:pPr>
        <w:pStyle w:val="BodyText"/>
        <w:spacing w:before="10"/>
        <w:rPr>
          <w:sz w:val="17"/>
        </w:rPr>
      </w:pPr>
    </w:p>
    <w:p w:rsidR="00AF10BE" w:rsidRDefault="003149C3">
      <w:pPr>
        <w:pStyle w:val="BodyText"/>
        <w:ind w:left="120" w:right="592"/>
      </w:pPr>
      <w:r>
        <w:t>See the Core Curriculum Guide for courses approved for ELSJ. The web version of the Core Curriculum Guide is updated quarterly. The ELSJ requirement can be fulfilled in two ways:</w:t>
      </w:r>
    </w:p>
    <w:p w:rsidR="00AF10BE" w:rsidRDefault="00AF10BE">
      <w:pPr>
        <w:pStyle w:val="BodyText"/>
      </w:pPr>
    </w:p>
    <w:p w:rsidR="00AF10BE" w:rsidRDefault="003149C3">
      <w:pPr>
        <w:pStyle w:val="ListParagraph"/>
        <w:numPr>
          <w:ilvl w:val="0"/>
          <w:numId w:val="1"/>
        </w:numPr>
        <w:tabs>
          <w:tab w:val="left" w:pos="726"/>
        </w:tabs>
        <w:ind w:firstLine="0"/>
        <w:rPr>
          <w:sz w:val="18"/>
        </w:rPr>
      </w:pPr>
      <w:r>
        <w:rPr>
          <w:sz w:val="18"/>
        </w:rPr>
        <w:t>One class, incorporating the key elements, in which all students receive ELSJ credit upon passing the course (</w:t>
      </w:r>
      <w:proofErr w:type="gramStart"/>
      <w:r>
        <w:rPr>
          <w:sz w:val="18"/>
        </w:rPr>
        <w:t>units</w:t>
      </w:r>
      <w:proofErr w:type="gramEnd"/>
      <w:r>
        <w:rPr>
          <w:spacing w:val="-25"/>
          <w:sz w:val="18"/>
        </w:rPr>
        <w:t xml:space="preserve"> </w:t>
      </w:r>
      <w:r>
        <w:rPr>
          <w:sz w:val="18"/>
        </w:rPr>
        <w:t>variable).</w:t>
      </w:r>
    </w:p>
    <w:p w:rsidR="00AF10BE" w:rsidRDefault="00AF10BE">
      <w:pPr>
        <w:pStyle w:val="BodyText"/>
        <w:spacing w:before="9"/>
        <w:rPr>
          <w:sz w:val="17"/>
        </w:rPr>
      </w:pPr>
    </w:p>
    <w:p w:rsidR="00253508" w:rsidRDefault="00253508" w:rsidP="00253508">
      <w:pPr>
        <w:pStyle w:val="m-1330894699622770783gmail-msolistparagraph"/>
        <w:spacing w:before="1" w:beforeAutospacing="0" w:after="0" w:afterAutospacing="0"/>
        <w:ind w:left="480" w:right="186"/>
      </w:pPr>
      <w:r w:rsidRPr="007402F3">
        <w:rPr>
          <w:spacing w:val="-4"/>
          <w:sz w:val="18"/>
          <w:szCs w:val="18"/>
        </w:rPr>
        <w:t>2.</w:t>
      </w:r>
      <w:r w:rsidRPr="007402F3">
        <w:rPr>
          <w:spacing w:val="-4"/>
          <w:sz w:val="14"/>
          <w:szCs w:val="14"/>
        </w:rPr>
        <w:t xml:space="preserve">    </w:t>
      </w:r>
      <w:r w:rsidR="001E0864" w:rsidRPr="007402F3">
        <w:rPr>
          <w:sz w:val="18"/>
          <w:szCs w:val="18"/>
        </w:rPr>
        <w:t>O</w:t>
      </w:r>
      <w:r w:rsidRPr="007402F3">
        <w:rPr>
          <w:sz w:val="18"/>
          <w:szCs w:val="18"/>
        </w:rPr>
        <w:t>ne non departmental independent study "ELSJ Milestone</w:t>
      </w:r>
      <w:r w:rsidR="0082532B" w:rsidRPr="007402F3">
        <w:rPr>
          <w:sz w:val="18"/>
          <w:szCs w:val="18"/>
        </w:rPr>
        <w:t>” class</w:t>
      </w:r>
      <w:r w:rsidRPr="007402F3">
        <w:rPr>
          <w:sz w:val="18"/>
          <w:szCs w:val="18"/>
        </w:rPr>
        <w:t xml:space="preserve"> (</w:t>
      </w:r>
      <w:r w:rsidR="001E0864" w:rsidRPr="007402F3">
        <w:rPr>
          <w:sz w:val="18"/>
          <w:szCs w:val="18"/>
        </w:rPr>
        <w:t>one</w:t>
      </w:r>
      <w:r w:rsidR="007402F3" w:rsidRPr="007402F3">
        <w:rPr>
          <w:sz w:val="18"/>
          <w:szCs w:val="18"/>
        </w:rPr>
        <w:t xml:space="preserve"> unit) in which the enrolled student participates in a pre-approved Ignatian Center immersion during the school break directly preceding the course. Alternately, a student may</w:t>
      </w:r>
      <w:r w:rsidR="001E0864" w:rsidRPr="007402F3">
        <w:rPr>
          <w:sz w:val="18"/>
          <w:szCs w:val="18"/>
        </w:rPr>
        <w:t xml:space="preserve"> </w:t>
      </w:r>
      <w:r w:rsidR="007402F3" w:rsidRPr="007402F3">
        <w:rPr>
          <w:sz w:val="18"/>
          <w:szCs w:val="18"/>
        </w:rPr>
        <w:t>develop</w:t>
      </w:r>
      <w:r w:rsidRPr="007402F3">
        <w:rPr>
          <w:sz w:val="18"/>
          <w:szCs w:val="18"/>
        </w:rPr>
        <w:t xml:space="preserve"> independent study curriculum </w:t>
      </w:r>
      <w:r w:rsidR="00946F85">
        <w:rPr>
          <w:sz w:val="18"/>
          <w:szCs w:val="18"/>
        </w:rPr>
        <w:t>and</w:t>
      </w:r>
      <w:r w:rsidRPr="007402F3">
        <w:rPr>
          <w:sz w:val="18"/>
          <w:szCs w:val="18"/>
        </w:rPr>
        <w:t xml:space="preserve"> direct community engagement activities with a faculty supervisor/mentor that align with the ELSJ requirement</w:t>
      </w:r>
      <w:r w:rsidR="001E0864" w:rsidRPr="007402F3">
        <w:rPr>
          <w:sz w:val="18"/>
          <w:szCs w:val="18"/>
        </w:rPr>
        <w:t xml:space="preserve"> (as noted above)</w:t>
      </w:r>
      <w:r w:rsidRPr="007402F3">
        <w:rPr>
          <w:sz w:val="18"/>
          <w:szCs w:val="18"/>
        </w:rPr>
        <w:t xml:space="preserve">. To fulfill the ELSJ requirement via the </w:t>
      </w:r>
      <w:r w:rsidR="0082532B" w:rsidRPr="007402F3">
        <w:rPr>
          <w:sz w:val="18"/>
          <w:szCs w:val="18"/>
        </w:rPr>
        <w:t xml:space="preserve">ELSJ </w:t>
      </w:r>
      <w:r w:rsidRPr="007402F3">
        <w:rPr>
          <w:sz w:val="18"/>
          <w:szCs w:val="18"/>
        </w:rPr>
        <w:t>Milestone</w:t>
      </w:r>
      <w:r w:rsidR="001E0864" w:rsidRPr="007402F3">
        <w:rPr>
          <w:sz w:val="18"/>
          <w:szCs w:val="18"/>
        </w:rPr>
        <w:t xml:space="preserve"> class</w:t>
      </w:r>
      <w:r w:rsidRPr="007402F3">
        <w:rPr>
          <w:sz w:val="18"/>
          <w:szCs w:val="18"/>
        </w:rPr>
        <w:t xml:space="preserve">, the student must also submit a proposal </w:t>
      </w:r>
      <w:r w:rsidR="00B91714" w:rsidRPr="007402F3">
        <w:rPr>
          <w:sz w:val="18"/>
          <w:szCs w:val="18"/>
        </w:rPr>
        <w:t xml:space="preserve">(including syllabus and community engagement description) </w:t>
      </w:r>
      <w:r w:rsidRPr="007402F3">
        <w:rPr>
          <w:sz w:val="18"/>
          <w:szCs w:val="18"/>
        </w:rPr>
        <w:t xml:space="preserve">to the Assessment Manager for Undergraduate Studies (Andrea Brewster) for the ELSJ Milestone </w:t>
      </w:r>
      <w:r w:rsidRPr="007402F3">
        <w:rPr>
          <w:b/>
          <w:bCs/>
          <w:sz w:val="18"/>
          <w:szCs w:val="18"/>
        </w:rPr>
        <w:t xml:space="preserve">in advance of </w:t>
      </w:r>
      <w:r w:rsidRPr="007402F3">
        <w:rPr>
          <w:sz w:val="18"/>
          <w:szCs w:val="18"/>
        </w:rPr>
        <w:t>begi</w:t>
      </w:r>
      <w:r w:rsidR="00295A90">
        <w:rPr>
          <w:sz w:val="18"/>
          <w:szCs w:val="18"/>
        </w:rPr>
        <w:t xml:space="preserve">nning the proposed experience. </w:t>
      </w:r>
      <w:r w:rsidRPr="007402F3">
        <w:rPr>
          <w:sz w:val="18"/>
          <w:szCs w:val="18"/>
        </w:rPr>
        <w:t>The Assessment Manager will confirm whether the student</w:t>
      </w:r>
      <w:r w:rsidR="00295A90">
        <w:rPr>
          <w:sz w:val="18"/>
          <w:szCs w:val="18"/>
        </w:rPr>
        <w:t>’s proposal qualifies for ELSJ.</w:t>
      </w:r>
      <w:r w:rsidRPr="007402F3">
        <w:rPr>
          <w:sz w:val="18"/>
          <w:szCs w:val="18"/>
        </w:rPr>
        <w:t xml:space="preserve"> Students will submit work products to the Assessment Manager demonstrating the achievement of the </w:t>
      </w:r>
      <w:r w:rsidR="00985D78">
        <w:rPr>
          <w:sz w:val="18"/>
          <w:szCs w:val="18"/>
        </w:rPr>
        <w:t xml:space="preserve">ELSJ </w:t>
      </w:r>
      <w:r w:rsidRPr="007402F3">
        <w:rPr>
          <w:sz w:val="18"/>
          <w:szCs w:val="18"/>
        </w:rPr>
        <w:t>learning outcome</w:t>
      </w:r>
      <w:r w:rsidR="00985D78">
        <w:rPr>
          <w:sz w:val="18"/>
          <w:szCs w:val="18"/>
        </w:rPr>
        <w:t>s</w:t>
      </w:r>
      <w:r w:rsidRPr="007402F3">
        <w:rPr>
          <w:sz w:val="18"/>
          <w:szCs w:val="18"/>
        </w:rPr>
        <w:t>, following posted</w:t>
      </w:r>
      <w:r w:rsidRPr="007402F3">
        <w:rPr>
          <w:spacing w:val="-29"/>
          <w:sz w:val="18"/>
          <w:szCs w:val="18"/>
        </w:rPr>
        <w:t xml:space="preserve"> </w:t>
      </w:r>
      <w:r w:rsidRPr="007402F3">
        <w:rPr>
          <w:sz w:val="18"/>
          <w:szCs w:val="18"/>
        </w:rPr>
        <w:t>guidelines.</w:t>
      </w:r>
    </w:p>
    <w:p w:rsidR="009C4D38" w:rsidRDefault="009C4D38">
      <w:pPr>
        <w:pStyle w:val="BodyText"/>
        <w:spacing w:before="5"/>
      </w:pPr>
    </w:p>
    <w:p w:rsidR="00AF10BE" w:rsidRDefault="003149C3">
      <w:pPr>
        <w:pStyle w:val="BodyText"/>
        <w:spacing w:line="235" w:lineRule="auto"/>
        <w:ind w:left="120" w:right="163"/>
        <w:rPr>
          <w:sz w:val="12"/>
        </w:rPr>
      </w:pPr>
      <w:r>
        <w:t xml:space="preserve">When he inaugurated Santa Clara’s sesquicentennial year, Father Peter-Hans </w:t>
      </w:r>
      <w:proofErr w:type="spellStart"/>
      <w:r>
        <w:t>Kolvenbach</w:t>
      </w:r>
      <w:proofErr w:type="spellEnd"/>
      <w:r>
        <w:t>, then Superior General of the Society of Jesus, noted that “Tomorrow’s ‘whole person’ cannot be whole without an educated awareness of society and culture with which to contribute socially, generously, in the real world.” Calling for a new Jesuit educational standard, “to educate the whole person of solidarity in the real world,” he explained: “Students, in the course of their formation, must let the gritty reality of this world into their lives, so they can learn to feel it, think about it critically, respond to its suffering, and engage in it constructively. They should learn to perceive, think, judge, choose, and act for the rights of others, especially the disadvantaged and the oppressed.”</w:t>
      </w:r>
      <w:r>
        <w:rPr>
          <w:position w:val="8"/>
          <w:sz w:val="12"/>
        </w:rPr>
        <w:t>1</w:t>
      </w:r>
    </w:p>
    <w:p w:rsidR="00AF10BE" w:rsidRDefault="00AF10BE">
      <w:pPr>
        <w:pStyle w:val="BodyText"/>
      </w:pPr>
    </w:p>
    <w:p w:rsidR="00E96821" w:rsidRDefault="00E96821" w:rsidP="00E96821">
      <w:pPr>
        <w:pStyle w:val="BodyText"/>
        <w:spacing w:before="1"/>
        <w:ind w:left="120" w:right="150"/>
      </w:pPr>
      <w:r>
        <w:t>Best practices in ELSJ Course Design:</w:t>
      </w:r>
    </w:p>
    <w:p w:rsidR="00E96821" w:rsidRDefault="00E96821" w:rsidP="00E96821">
      <w:pPr>
        <w:pStyle w:val="BodyText"/>
        <w:spacing w:before="1"/>
        <w:ind w:left="120" w:right="150"/>
      </w:pPr>
      <w:r>
        <w:t>1. The community engagement activities should be sustained over the quarter, allowing for community relationships to grow.</w:t>
      </w:r>
    </w:p>
    <w:p w:rsidR="00E96821" w:rsidRDefault="00E96821" w:rsidP="00E96821">
      <w:pPr>
        <w:pStyle w:val="BodyText"/>
        <w:spacing w:before="1"/>
        <w:ind w:left="120" w:right="150"/>
      </w:pPr>
      <w:r>
        <w:t>2. To fully address Learning Outcome 1.1, ELSJ courses should include content that facilitates students' vocational discernment, esp. with regard to their civic life.</w:t>
      </w:r>
    </w:p>
    <w:p w:rsidR="00E96821" w:rsidRDefault="00E96821" w:rsidP="00E96821">
      <w:pPr>
        <w:pStyle w:val="BodyText"/>
        <w:spacing w:before="1"/>
        <w:ind w:left="120" w:right="150"/>
      </w:pPr>
      <w:r>
        <w:t>3. ELSJ courses should include both written and oral structured reflection activities.</w:t>
      </w:r>
    </w:p>
    <w:p w:rsidR="00E96821" w:rsidRDefault="00E96821" w:rsidP="00E96821">
      <w:pPr>
        <w:pStyle w:val="BodyText"/>
        <w:spacing w:before="1"/>
        <w:ind w:left="120" w:right="150"/>
      </w:pPr>
      <w:r>
        <w:t>4. To fully address Learning Outcome 1.3, the community engagement component of the course must provide entry into socially, economically, and/or politically marginalized or oppressed communities</w:t>
      </w:r>
      <w:r w:rsidR="001E0864">
        <w:t>.</w:t>
      </w:r>
    </w:p>
    <w:p w:rsidR="00E96821" w:rsidRDefault="00E96821" w:rsidP="00E96821">
      <w:pPr>
        <w:pStyle w:val="BodyText"/>
        <w:spacing w:before="1"/>
        <w:ind w:left="120" w:right="150"/>
      </w:pPr>
      <w:r>
        <w:t>5. All ELSJ courses must include at least one (1) measurable assignment that allows for assessment of all three ELSJ Learning Outcomes (or more than one assignment that, across the assignments, allows for assessment of all the ELSJ Learning Outcomes). ELSJ FCC Recommendations for this assignment: Assignment is given later in the quarter. Assignment allows student to demonstrate an integrated (conceptual and applied) understanding of subject matter. Assignment design aligns with ELSJ Learning Outcomes (as operationalized within the ELSJ Core Assessment rubric.)</w:t>
      </w:r>
    </w:p>
    <w:p w:rsidR="00E96821" w:rsidRDefault="00E96821" w:rsidP="00E96821">
      <w:pPr>
        <w:pStyle w:val="BodyText"/>
        <w:spacing w:before="1"/>
        <w:ind w:left="120" w:right="150"/>
      </w:pPr>
    </w:p>
    <w:p w:rsidR="00E96821" w:rsidRDefault="00E96821" w:rsidP="00E96821">
      <w:pPr>
        <w:pStyle w:val="BodyText"/>
        <w:spacing w:before="1"/>
        <w:ind w:left="120" w:right="150"/>
      </w:pPr>
      <w:r>
        <w:t>For ELSJ course curriculum design assistance, please contact Undergraduate Studies Assessment Manager, Andrea Brewster.</w:t>
      </w:r>
    </w:p>
    <w:p w:rsidR="00E96821" w:rsidRDefault="00E96821" w:rsidP="00E96821">
      <w:pPr>
        <w:pStyle w:val="BodyText"/>
        <w:spacing w:before="1"/>
        <w:ind w:left="120" w:right="150"/>
      </w:pPr>
    </w:p>
    <w:p w:rsidR="00AF10BE" w:rsidRDefault="003149C3">
      <w:pPr>
        <w:pStyle w:val="BodyText"/>
        <w:spacing w:before="1"/>
        <w:ind w:left="120" w:right="150"/>
      </w:pPr>
      <w:r>
        <w:t xml:space="preserve">NOTE: Syllabus submissions (along with a Core Course Syllabus Approval Form) must be made to: </w:t>
      </w:r>
      <w:hyperlink r:id="rId13">
        <w:r>
          <w:rPr>
            <w:u w:val="single"/>
          </w:rPr>
          <w:t>UgradStudies@scu.edu</w:t>
        </w:r>
        <w:r>
          <w:t>.</w:t>
        </w:r>
      </w:hyperlink>
      <w:r>
        <w:t xml:space="preserve"> The ELSJ Faculty Core Committee is responsible for reviewing and approving syllabi.</w:t>
      </w: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AF10BE">
      <w:pPr>
        <w:pStyle w:val="BodyText"/>
        <w:rPr>
          <w:sz w:val="20"/>
        </w:rPr>
      </w:pPr>
    </w:p>
    <w:p w:rsidR="00AF10BE" w:rsidRDefault="003149C3">
      <w:pPr>
        <w:pStyle w:val="BodyText"/>
        <w:rPr>
          <w:sz w:val="12"/>
        </w:rPr>
      </w:pPr>
      <w:r>
        <w:rPr>
          <w:noProof/>
        </w:rPr>
        <mc:AlternateContent>
          <mc:Choice Requires="wps">
            <w:drawing>
              <wp:anchor distT="0" distB="0" distL="0" distR="0" simplePos="0" relativeHeight="251657728" behindDoc="0" locked="0" layoutInCell="1" allowOverlap="1">
                <wp:simplePos x="0" y="0"/>
                <wp:positionH relativeFrom="page">
                  <wp:posOffset>457200</wp:posOffset>
                </wp:positionH>
                <wp:positionV relativeFrom="paragraph">
                  <wp:posOffset>116840</wp:posOffset>
                </wp:positionV>
                <wp:extent cx="1828800" cy="0"/>
                <wp:effectExtent l="9525" t="12065" r="9525"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867C9"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2pt" to="18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" strokeweight=".21169mm">
                <w10:wrap type="topAndBottom" anchorx="page"/>
              </v:line>
            </w:pict>
          </mc:Fallback>
        </mc:AlternateContent>
      </w:r>
    </w:p>
    <w:p w:rsidR="00AF10BE" w:rsidRDefault="003149C3">
      <w:pPr>
        <w:pStyle w:val="BodyText"/>
        <w:spacing w:before="52"/>
        <w:ind w:left="120" w:right="527"/>
      </w:pPr>
      <w:r>
        <w:rPr>
          <w:position w:val="8"/>
          <w:sz w:val="12"/>
        </w:rPr>
        <w:t xml:space="preserve">1 </w:t>
      </w:r>
      <w:r>
        <w:t xml:space="preserve">Rev. Peter-Hans </w:t>
      </w:r>
      <w:proofErr w:type="spellStart"/>
      <w:r>
        <w:t>Kolvenbach</w:t>
      </w:r>
      <w:proofErr w:type="spellEnd"/>
      <w:r>
        <w:t>, S.J., “The Service of Faith and the Promotion of Justice in American, Jesuit Higher Education,” address at Santa Clara University, Santa Clara, California, October 6, 2000.</w:t>
      </w:r>
    </w:p>
    <w:sectPr w:rsidR="00AF10BE">
      <w:type w:val="continuous"/>
      <w:pgSz w:w="12240" w:h="15840"/>
      <w:pgMar w:top="6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35" w:rsidRDefault="00786335" w:rsidP="00E96821">
      <w:r>
        <w:separator/>
      </w:r>
    </w:p>
  </w:endnote>
  <w:endnote w:type="continuationSeparator" w:id="0">
    <w:p w:rsidR="00786335" w:rsidRDefault="00786335" w:rsidP="00E9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35" w:rsidRDefault="00786335" w:rsidP="00E96821">
      <w:r>
        <w:separator/>
      </w:r>
    </w:p>
  </w:footnote>
  <w:footnote w:type="continuationSeparator" w:id="0">
    <w:p w:rsidR="00786335" w:rsidRDefault="00786335" w:rsidP="00E9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21" w:rsidRDefault="00E9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A1"/>
    <w:multiLevelType w:val="hybridMultilevel"/>
    <w:tmpl w:val="74204B80"/>
    <w:lvl w:ilvl="0" w:tplc="EB8014C6">
      <w:start w:val="1"/>
      <w:numFmt w:val="decimal"/>
      <w:lvlText w:val="%1."/>
      <w:lvlJc w:val="left"/>
      <w:pPr>
        <w:ind w:left="480" w:hanging="246"/>
      </w:pPr>
      <w:rPr>
        <w:rFonts w:ascii="Times New Roman" w:eastAsia="Times New Roman" w:hAnsi="Times New Roman" w:cs="Times New Roman" w:hint="default"/>
        <w:spacing w:val="-4"/>
        <w:w w:val="99"/>
        <w:sz w:val="18"/>
        <w:szCs w:val="18"/>
      </w:rPr>
    </w:lvl>
    <w:lvl w:ilvl="1" w:tplc="3F1C94BC">
      <w:numFmt w:val="bullet"/>
      <w:lvlText w:val="•"/>
      <w:lvlJc w:val="left"/>
      <w:pPr>
        <w:ind w:left="1536" w:hanging="246"/>
      </w:pPr>
      <w:rPr>
        <w:rFonts w:hint="default"/>
      </w:rPr>
    </w:lvl>
    <w:lvl w:ilvl="2" w:tplc="744893A2">
      <w:numFmt w:val="bullet"/>
      <w:lvlText w:val="•"/>
      <w:lvlJc w:val="left"/>
      <w:pPr>
        <w:ind w:left="2592" w:hanging="246"/>
      </w:pPr>
      <w:rPr>
        <w:rFonts w:hint="default"/>
      </w:rPr>
    </w:lvl>
    <w:lvl w:ilvl="3" w:tplc="29C4D0D8">
      <w:numFmt w:val="bullet"/>
      <w:lvlText w:val="•"/>
      <w:lvlJc w:val="left"/>
      <w:pPr>
        <w:ind w:left="3648" w:hanging="246"/>
      </w:pPr>
      <w:rPr>
        <w:rFonts w:hint="default"/>
      </w:rPr>
    </w:lvl>
    <w:lvl w:ilvl="4" w:tplc="7E786070">
      <w:numFmt w:val="bullet"/>
      <w:lvlText w:val="•"/>
      <w:lvlJc w:val="left"/>
      <w:pPr>
        <w:ind w:left="4704" w:hanging="246"/>
      </w:pPr>
      <w:rPr>
        <w:rFonts w:hint="default"/>
      </w:rPr>
    </w:lvl>
    <w:lvl w:ilvl="5" w:tplc="29DA09D0">
      <w:numFmt w:val="bullet"/>
      <w:lvlText w:val="•"/>
      <w:lvlJc w:val="left"/>
      <w:pPr>
        <w:ind w:left="5760" w:hanging="246"/>
      </w:pPr>
      <w:rPr>
        <w:rFonts w:hint="default"/>
      </w:rPr>
    </w:lvl>
    <w:lvl w:ilvl="6" w:tplc="B862207C">
      <w:numFmt w:val="bullet"/>
      <w:lvlText w:val="•"/>
      <w:lvlJc w:val="left"/>
      <w:pPr>
        <w:ind w:left="6816" w:hanging="246"/>
      </w:pPr>
      <w:rPr>
        <w:rFonts w:hint="default"/>
      </w:rPr>
    </w:lvl>
    <w:lvl w:ilvl="7" w:tplc="BE402A52">
      <w:numFmt w:val="bullet"/>
      <w:lvlText w:val="•"/>
      <w:lvlJc w:val="left"/>
      <w:pPr>
        <w:ind w:left="7872" w:hanging="246"/>
      </w:pPr>
      <w:rPr>
        <w:rFonts w:hint="default"/>
      </w:rPr>
    </w:lvl>
    <w:lvl w:ilvl="8" w:tplc="D4A083BE">
      <w:numFmt w:val="bullet"/>
      <w:lvlText w:val="•"/>
      <w:lvlJc w:val="left"/>
      <w:pPr>
        <w:ind w:left="8928" w:hanging="246"/>
      </w:pPr>
      <w:rPr>
        <w:rFonts w:hint="default"/>
      </w:rPr>
    </w:lvl>
  </w:abstractNum>
  <w:abstractNum w:abstractNumId="1" w15:restartNumberingAfterBreak="0">
    <w:nsid w:val="0DBA4A66"/>
    <w:multiLevelType w:val="hybridMultilevel"/>
    <w:tmpl w:val="F04A0000"/>
    <w:lvl w:ilvl="0" w:tplc="55FAF3E4">
      <w:start w:val="1"/>
      <w:numFmt w:val="decimal"/>
      <w:lvlText w:val="%1."/>
      <w:lvlJc w:val="left"/>
      <w:pPr>
        <w:ind w:left="931" w:hanging="361"/>
      </w:pPr>
      <w:rPr>
        <w:rFonts w:ascii="Times New Roman" w:eastAsia="Times New Roman" w:hAnsi="Times New Roman" w:cs="Times New Roman" w:hint="default"/>
        <w:spacing w:val="-4"/>
        <w:w w:val="99"/>
        <w:sz w:val="18"/>
        <w:szCs w:val="18"/>
      </w:rPr>
    </w:lvl>
    <w:lvl w:ilvl="1" w:tplc="2ECCD00E">
      <w:numFmt w:val="bullet"/>
      <w:lvlText w:val=""/>
      <w:lvlJc w:val="left"/>
      <w:pPr>
        <w:ind w:left="1601" w:hanging="360"/>
      </w:pPr>
      <w:rPr>
        <w:rFonts w:ascii="Symbol" w:eastAsia="Symbol" w:hAnsi="Symbol" w:cs="Symbol" w:hint="default"/>
        <w:w w:val="100"/>
        <w:sz w:val="18"/>
        <w:szCs w:val="18"/>
      </w:rPr>
    </w:lvl>
    <w:lvl w:ilvl="2" w:tplc="388CC84C">
      <w:numFmt w:val="bullet"/>
      <w:lvlText w:val="•"/>
      <w:lvlJc w:val="left"/>
      <w:pPr>
        <w:ind w:left="1660" w:hanging="360"/>
      </w:pPr>
      <w:rPr>
        <w:rFonts w:hint="default"/>
      </w:rPr>
    </w:lvl>
    <w:lvl w:ilvl="3" w:tplc="BEA44EE8">
      <w:numFmt w:val="bullet"/>
      <w:lvlText w:val="•"/>
      <w:lvlJc w:val="left"/>
      <w:pPr>
        <w:ind w:left="2832" w:hanging="360"/>
      </w:pPr>
      <w:rPr>
        <w:rFonts w:hint="default"/>
      </w:rPr>
    </w:lvl>
    <w:lvl w:ilvl="4" w:tplc="7590A6E8">
      <w:numFmt w:val="bullet"/>
      <w:lvlText w:val="•"/>
      <w:lvlJc w:val="left"/>
      <w:pPr>
        <w:ind w:left="4005" w:hanging="360"/>
      </w:pPr>
      <w:rPr>
        <w:rFonts w:hint="default"/>
      </w:rPr>
    </w:lvl>
    <w:lvl w:ilvl="5" w:tplc="B5284504">
      <w:numFmt w:val="bullet"/>
      <w:lvlText w:val="•"/>
      <w:lvlJc w:val="left"/>
      <w:pPr>
        <w:ind w:left="5177" w:hanging="360"/>
      </w:pPr>
      <w:rPr>
        <w:rFonts w:hint="default"/>
      </w:rPr>
    </w:lvl>
    <w:lvl w:ilvl="6" w:tplc="00B80662">
      <w:numFmt w:val="bullet"/>
      <w:lvlText w:val="•"/>
      <w:lvlJc w:val="left"/>
      <w:pPr>
        <w:ind w:left="6350" w:hanging="360"/>
      </w:pPr>
      <w:rPr>
        <w:rFonts w:hint="default"/>
      </w:rPr>
    </w:lvl>
    <w:lvl w:ilvl="7" w:tplc="481A79C6">
      <w:numFmt w:val="bullet"/>
      <w:lvlText w:val="•"/>
      <w:lvlJc w:val="left"/>
      <w:pPr>
        <w:ind w:left="7522" w:hanging="360"/>
      </w:pPr>
      <w:rPr>
        <w:rFonts w:hint="default"/>
      </w:rPr>
    </w:lvl>
    <w:lvl w:ilvl="8" w:tplc="3C90E2D4">
      <w:numFmt w:val="bullet"/>
      <w:lvlText w:val="•"/>
      <w:lvlJc w:val="left"/>
      <w:pPr>
        <w:ind w:left="8695" w:hanging="360"/>
      </w:pPr>
      <w:rPr>
        <w:rFonts w:hint="default"/>
      </w:rPr>
    </w:lvl>
  </w:abstractNum>
  <w:abstractNum w:abstractNumId="2" w15:restartNumberingAfterBreak="0">
    <w:nsid w:val="3B82206C"/>
    <w:multiLevelType w:val="multilevel"/>
    <w:tmpl w:val="1E6205C0"/>
    <w:lvl w:ilvl="0">
      <w:start w:val="1"/>
      <w:numFmt w:val="decimal"/>
      <w:lvlText w:val="%1"/>
      <w:lvlJc w:val="left"/>
      <w:pPr>
        <w:ind w:left="1560" w:hanging="320"/>
      </w:pPr>
      <w:rPr>
        <w:rFonts w:hint="default"/>
      </w:rPr>
    </w:lvl>
    <w:lvl w:ilvl="1">
      <w:start w:val="1"/>
      <w:numFmt w:val="decimal"/>
      <w:lvlText w:val="%1.%2"/>
      <w:lvlJc w:val="left"/>
      <w:pPr>
        <w:ind w:left="1560" w:hanging="320"/>
      </w:pPr>
      <w:rPr>
        <w:rFonts w:ascii="Times New Roman" w:eastAsia="Times New Roman" w:hAnsi="Times New Roman" w:cs="Times New Roman" w:hint="default"/>
        <w:spacing w:val="-3"/>
        <w:w w:val="99"/>
        <w:sz w:val="18"/>
        <w:szCs w:val="18"/>
      </w:rPr>
    </w:lvl>
    <w:lvl w:ilvl="2">
      <w:numFmt w:val="bullet"/>
      <w:lvlText w:val="•"/>
      <w:lvlJc w:val="left"/>
      <w:pPr>
        <w:ind w:left="3456" w:hanging="320"/>
      </w:pPr>
      <w:rPr>
        <w:rFonts w:hint="default"/>
      </w:rPr>
    </w:lvl>
    <w:lvl w:ilvl="3">
      <w:numFmt w:val="bullet"/>
      <w:lvlText w:val="•"/>
      <w:lvlJc w:val="left"/>
      <w:pPr>
        <w:ind w:left="4404" w:hanging="320"/>
      </w:pPr>
      <w:rPr>
        <w:rFonts w:hint="default"/>
      </w:rPr>
    </w:lvl>
    <w:lvl w:ilvl="4">
      <w:numFmt w:val="bullet"/>
      <w:lvlText w:val="•"/>
      <w:lvlJc w:val="left"/>
      <w:pPr>
        <w:ind w:left="5352" w:hanging="320"/>
      </w:pPr>
      <w:rPr>
        <w:rFonts w:hint="default"/>
      </w:rPr>
    </w:lvl>
    <w:lvl w:ilvl="5">
      <w:numFmt w:val="bullet"/>
      <w:lvlText w:val="•"/>
      <w:lvlJc w:val="left"/>
      <w:pPr>
        <w:ind w:left="6300" w:hanging="320"/>
      </w:pPr>
      <w:rPr>
        <w:rFonts w:hint="default"/>
      </w:rPr>
    </w:lvl>
    <w:lvl w:ilvl="6">
      <w:numFmt w:val="bullet"/>
      <w:lvlText w:val="•"/>
      <w:lvlJc w:val="left"/>
      <w:pPr>
        <w:ind w:left="7248" w:hanging="320"/>
      </w:pPr>
      <w:rPr>
        <w:rFonts w:hint="default"/>
      </w:rPr>
    </w:lvl>
    <w:lvl w:ilvl="7">
      <w:numFmt w:val="bullet"/>
      <w:lvlText w:val="•"/>
      <w:lvlJc w:val="left"/>
      <w:pPr>
        <w:ind w:left="8196" w:hanging="320"/>
      </w:pPr>
      <w:rPr>
        <w:rFonts w:hint="default"/>
      </w:rPr>
    </w:lvl>
    <w:lvl w:ilvl="8">
      <w:numFmt w:val="bullet"/>
      <w:lvlText w:val="•"/>
      <w:lvlJc w:val="left"/>
      <w:pPr>
        <w:ind w:left="9144" w:hanging="3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BE"/>
    <w:rsid w:val="000908DF"/>
    <w:rsid w:val="000D4FF6"/>
    <w:rsid w:val="001E0864"/>
    <w:rsid w:val="00245462"/>
    <w:rsid w:val="00253508"/>
    <w:rsid w:val="00295A90"/>
    <w:rsid w:val="002F692E"/>
    <w:rsid w:val="00305B40"/>
    <w:rsid w:val="003149C3"/>
    <w:rsid w:val="00397483"/>
    <w:rsid w:val="00462EB0"/>
    <w:rsid w:val="004E3867"/>
    <w:rsid w:val="00563194"/>
    <w:rsid w:val="006438BF"/>
    <w:rsid w:val="006C08D6"/>
    <w:rsid w:val="007402F3"/>
    <w:rsid w:val="00786335"/>
    <w:rsid w:val="0082532B"/>
    <w:rsid w:val="00827A45"/>
    <w:rsid w:val="00946F85"/>
    <w:rsid w:val="00985D78"/>
    <w:rsid w:val="009C4D38"/>
    <w:rsid w:val="00AA0C1B"/>
    <w:rsid w:val="00AF10BE"/>
    <w:rsid w:val="00B70CE6"/>
    <w:rsid w:val="00B91714"/>
    <w:rsid w:val="00B96136"/>
    <w:rsid w:val="00C86A1C"/>
    <w:rsid w:val="00CC57B2"/>
    <w:rsid w:val="00D10411"/>
    <w:rsid w:val="00DE3E26"/>
    <w:rsid w:val="00E96821"/>
    <w:rsid w:val="00EA04EB"/>
    <w:rsid w:val="00F408BF"/>
    <w:rsid w:val="00F52098"/>
    <w:rsid w:val="00F77F33"/>
    <w:rsid w:val="00FD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37170A-3378-48B1-A99A-04CC6BCB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908DF"/>
    <w:rPr>
      <w:rFonts w:ascii="Tahoma" w:hAnsi="Tahoma" w:cs="Tahoma"/>
      <w:sz w:val="16"/>
      <w:szCs w:val="16"/>
    </w:rPr>
  </w:style>
  <w:style w:type="character" w:customStyle="1" w:styleId="BalloonTextChar">
    <w:name w:val="Balloon Text Char"/>
    <w:basedOn w:val="DefaultParagraphFont"/>
    <w:link w:val="BalloonText"/>
    <w:uiPriority w:val="99"/>
    <w:semiHidden/>
    <w:rsid w:val="000908DF"/>
    <w:rPr>
      <w:rFonts w:ascii="Tahoma" w:eastAsia="Times New Roman" w:hAnsi="Tahoma" w:cs="Tahoma"/>
      <w:sz w:val="16"/>
      <w:szCs w:val="16"/>
    </w:rPr>
  </w:style>
  <w:style w:type="paragraph" w:styleId="Header">
    <w:name w:val="header"/>
    <w:basedOn w:val="Normal"/>
    <w:link w:val="HeaderChar"/>
    <w:uiPriority w:val="99"/>
    <w:unhideWhenUsed/>
    <w:rsid w:val="00E96821"/>
    <w:pPr>
      <w:tabs>
        <w:tab w:val="center" w:pos="4680"/>
        <w:tab w:val="right" w:pos="9360"/>
      </w:tabs>
    </w:pPr>
  </w:style>
  <w:style w:type="character" w:customStyle="1" w:styleId="HeaderChar">
    <w:name w:val="Header Char"/>
    <w:basedOn w:val="DefaultParagraphFont"/>
    <w:link w:val="Header"/>
    <w:uiPriority w:val="99"/>
    <w:rsid w:val="00E96821"/>
    <w:rPr>
      <w:rFonts w:ascii="Times New Roman" w:eastAsia="Times New Roman" w:hAnsi="Times New Roman" w:cs="Times New Roman"/>
    </w:rPr>
  </w:style>
  <w:style w:type="paragraph" w:styleId="Footer">
    <w:name w:val="footer"/>
    <w:basedOn w:val="Normal"/>
    <w:link w:val="FooterChar"/>
    <w:uiPriority w:val="99"/>
    <w:unhideWhenUsed/>
    <w:rsid w:val="00E96821"/>
    <w:pPr>
      <w:tabs>
        <w:tab w:val="center" w:pos="4680"/>
        <w:tab w:val="right" w:pos="9360"/>
      </w:tabs>
    </w:pPr>
  </w:style>
  <w:style w:type="character" w:customStyle="1" w:styleId="FooterChar">
    <w:name w:val="Footer Char"/>
    <w:basedOn w:val="DefaultParagraphFont"/>
    <w:link w:val="Footer"/>
    <w:uiPriority w:val="99"/>
    <w:rsid w:val="00E96821"/>
    <w:rPr>
      <w:rFonts w:ascii="Times New Roman" w:eastAsia="Times New Roman" w:hAnsi="Times New Roman" w:cs="Times New Roman"/>
    </w:rPr>
  </w:style>
  <w:style w:type="paragraph" w:customStyle="1" w:styleId="gmail-msolistparagraph">
    <w:name w:val="gmail-msolistparagraph"/>
    <w:basedOn w:val="Normal"/>
    <w:rsid w:val="009C4D38"/>
    <w:pPr>
      <w:widowControl/>
      <w:autoSpaceDE/>
      <w:autoSpaceDN/>
      <w:spacing w:before="100" w:beforeAutospacing="1" w:after="100" w:afterAutospacing="1"/>
    </w:pPr>
    <w:rPr>
      <w:sz w:val="24"/>
      <w:szCs w:val="24"/>
    </w:rPr>
  </w:style>
  <w:style w:type="paragraph" w:customStyle="1" w:styleId="m-1330894699622770783gmail-msolistparagraph">
    <w:name w:val="m_-1330894699622770783gmail-msolistparagraph"/>
    <w:basedOn w:val="Normal"/>
    <w:rsid w:val="0025350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7691">
      <w:bodyDiv w:val="1"/>
      <w:marLeft w:val="0"/>
      <w:marRight w:val="0"/>
      <w:marTop w:val="0"/>
      <w:marBottom w:val="0"/>
      <w:divBdr>
        <w:top w:val="none" w:sz="0" w:space="0" w:color="auto"/>
        <w:left w:val="none" w:sz="0" w:space="0" w:color="auto"/>
        <w:bottom w:val="none" w:sz="0" w:space="0" w:color="auto"/>
        <w:right w:val="none" w:sz="0" w:space="0" w:color="auto"/>
      </w:divBdr>
      <w:divsChild>
        <w:div w:id="1190098785">
          <w:marLeft w:val="0"/>
          <w:marRight w:val="0"/>
          <w:marTop w:val="0"/>
          <w:marBottom w:val="0"/>
          <w:divBdr>
            <w:top w:val="none" w:sz="0" w:space="0" w:color="auto"/>
            <w:left w:val="none" w:sz="0" w:space="0" w:color="auto"/>
            <w:bottom w:val="none" w:sz="0" w:space="0" w:color="auto"/>
            <w:right w:val="none" w:sz="0" w:space="0" w:color="auto"/>
          </w:divBdr>
        </w:div>
        <w:div w:id="1903445934">
          <w:marLeft w:val="0"/>
          <w:marRight w:val="0"/>
          <w:marTop w:val="0"/>
          <w:marBottom w:val="0"/>
          <w:divBdr>
            <w:top w:val="none" w:sz="0" w:space="0" w:color="auto"/>
            <w:left w:val="none" w:sz="0" w:space="0" w:color="auto"/>
            <w:bottom w:val="none" w:sz="0" w:space="0" w:color="auto"/>
            <w:right w:val="none" w:sz="0" w:space="0" w:color="auto"/>
          </w:divBdr>
        </w:div>
        <w:div w:id="1933539576">
          <w:marLeft w:val="0"/>
          <w:marRight w:val="0"/>
          <w:marTop w:val="0"/>
          <w:marBottom w:val="0"/>
          <w:divBdr>
            <w:top w:val="none" w:sz="0" w:space="0" w:color="auto"/>
            <w:left w:val="none" w:sz="0" w:space="0" w:color="auto"/>
            <w:bottom w:val="none" w:sz="0" w:space="0" w:color="auto"/>
            <w:right w:val="none" w:sz="0" w:space="0" w:color="auto"/>
          </w:divBdr>
        </w:div>
        <w:div w:id="1842313822">
          <w:marLeft w:val="0"/>
          <w:marRight w:val="0"/>
          <w:marTop w:val="0"/>
          <w:marBottom w:val="0"/>
          <w:divBdr>
            <w:top w:val="none" w:sz="0" w:space="0" w:color="auto"/>
            <w:left w:val="none" w:sz="0" w:space="0" w:color="auto"/>
            <w:bottom w:val="none" w:sz="0" w:space="0" w:color="auto"/>
            <w:right w:val="none" w:sz="0" w:space="0" w:color="auto"/>
          </w:divBdr>
        </w:div>
        <w:div w:id="592589296">
          <w:marLeft w:val="0"/>
          <w:marRight w:val="0"/>
          <w:marTop w:val="0"/>
          <w:marBottom w:val="0"/>
          <w:divBdr>
            <w:top w:val="none" w:sz="0" w:space="0" w:color="auto"/>
            <w:left w:val="none" w:sz="0" w:space="0" w:color="auto"/>
            <w:bottom w:val="none" w:sz="0" w:space="0" w:color="auto"/>
            <w:right w:val="none" w:sz="0" w:space="0" w:color="auto"/>
          </w:divBdr>
        </w:div>
        <w:div w:id="1603879167">
          <w:marLeft w:val="0"/>
          <w:marRight w:val="0"/>
          <w:marTop w:val="0"/>
          <w:marBottom w:val="0"/>
          <w:divBdr>
            <w:top w:val="none" w:sz="0" w:space="0" w:color="auto"/>
            <w:left w:val="none" w:sz="0" w:space="0" w:color="auto"/>
            <w:bottom w:val="none" w:sz="0" w:space="0" w:color="auto"/>
            <w:right w:val="none" w:sz="0" w:space="0" w:color="auto"/>
          </w:divBdr>
        </w:div>
      </w:divsChild>
    </w:div>
    <w:div w:id="417288248">
      <w:bodyDiv w:val="1"/>
      <w:marLeft w:val="0"/>
      <w:marRight w:val="0"/>
      <w:marTop w:val="0"/>
      <w:marBottom w:val="0"/>
      <w:divBdr>
        <w:top w:val="none" w:sz="0" w:space="0" w:color="auto"/>
        <w:left w:val="none" w:sz="0" w:space="0" w:color="auto"/>
        <w:bottom w:val="none" w:sz="0" w:space="0" w:color="auto"/>
        <w:right w:val="none" w:sz="0" w:space="0" w:color="auto"/>
      </w:divBdr>
    </w:div>
    <w:div w:id="183810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UgradStudies@scu.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Experiential Learning for Social Justice (ELSJ) component of the new Core curriculum cultivates the following learning goal</vt:lpstr>
    </vt:vector>
  </TitlesOfParts>
  <Company>Santa Clara University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Experiential Learning for Social Justice (ELSJ) component of the new Core curriculum cultivates the following learning goal</dc:title>
  <dc:creator>David Pace User</dc:creator>
  <cp:lastModifiedBy>Windows User</cp:lastModifiedBy>
  <cp:revision>2</cp:revision>
  <cp:lastPrinted>2017-09-08T00:08:00Z</cp:lastPrinted>
  <dcterms:created xsi:type="dcterms:W3CDTF">2017-12-01T17:27:00Z</dcterms:created>
  <dcterms:modified xsi:type="dcterms:W3CDTF">2017-12-01T17:27:00Z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Creator">
    <vt:lpwstr>Microsoft® Word 2010</vt:lpwstr>
  </property>
  <property fmtid="{D5CDD505-2E9C-101B-9397-08002B2CF9AE}" pid="4" name="LastSaved">
    <vt:filetime>2016-09-21T00:00:00Z</vt:filetime>
  </property>
</Properties>
</file>